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A34" w:rsidRPr="00373F75" w:rsidRDefault="00D84A34" w:rsidP="007D23C4">
      <w:pPr>
        <w:jc w:val="center"/>
        <w:rPr>
          <w:b/>
          <w:sz w:val="22"/>
          <w:szCs w:val="22"/>
        </w:rPr>
      </w:pPr>
      <w:bookmarkStart w:id="0" w:name="_GoBack"/>
      <w:bookmarkEnd w:id="0"/>
      <w:r w:rsidRPr="00373F75">
        <w:rPr>
          <w:b/>
          <w:sz w:val="22"/>
          <w:szCs w:val="22"/>
        </w:rPr>
        <w:t>FOOD BANK OF THE SOUTHERN TIER</w:t>
      </w:r>
    </w:p>
    <w:p w:rsidR="00D84A34" w:rsidRPr="00373F75" w:rsidRDefault="00D84A34" w:rsidP="00D84A34">
      <w:pPr>
        <w:rPr>
          <w:b/>
          <w:sz w:val="22"/>
          <w:szCs w:val="22"/>
        </w:rPr>
      </w:pPr>
    </w:p>
    <w:p w:rsidR="00D84A34" w:rsidRPr="00373F75" w:rsidRDefault="00D84A34" w:rsidP="00D84A34">
      <w:pPr>
        <w:jc w:val="center"/>
        <w:rPr>
          <w:b/>
          <w:sz w:val="22"/>
          <w:szCs w:val="22"/>
        </w:rPr>
      </w:pPr>
      <w:r w:rsidRPr="00373F75">
        <w:rPr>
          <w:b/>
          <w:sz w:val="22"/>
          <w:szCs w:val="22"/>
        </w:rPr>
        <w:t>INVESTMENT POLICY</w:t>
      </w:r>
    </w:p>
    <w:p w:rsidR="00D84A34" w:rsidRPr="00373F75" w:rsidRDefault="00D84A34" w:rsidP="00D84A34">
      <w:pPr>
        <w:rPr>
          <w:sz w:val="22"/>
          <w:szCs w:val="22"/>
        </w:rPr>
      </w:pPr>
    </w:p>
    <w:p w:rsidR="00D84A34" w:rsidRPr="00373F75" w:rsidRDefault="00D84A34" w:rsidP="00D84A34">
      <w:pPr>
        <w:rPr>
          <w:sz w:val="22"/>
          <w:szCs w:val="22"/>
        </w:rPr>
      </w:pPr>
      <w:r w:rsidRPr="00373F75">
        <w:rPr>
          <w:sz w:val="22"/>
          <w:szCs w:val="22"/>
        </w:rPr>
        <w:t>A.</w:t>
      </w:r>
      <w:r w:rsidRPr="00373F75">
        <w:rPr>
          <w:sz w:val="22"/>
          <w:szCs w:val="22"/>
        </w:rPr>
        <w:tab/>
        <w:t>POLICY</w:t>
      </w:r>
    </w:p>
    <w:p w:rsidR="00D84A34" w:rsidRPr="00373F75" w:rsidRDefault="00D84A34" w:rsidP="00D84A34">
      <w:pPr>
        <w:rPr>
          <w:sz w:val="22"/>
          <w:szCs w:val="22"/>
        </w:rPr>
      </w:pPr>
    </w:p>
    <w:p w:rsidR="00D84A34" w:rsidRDefault="00D84A34" w:rsidP="00D84A34">
      <w:pPr>
        <w:ind w:left="720"/>
        <w:rPr>
          <w:sz w:val="22"/>
          <w:szCs w:val="22"/>
        </w:rPr>
      </w:pPr>
      <w:r w:rsidRPr="00373F75">
        <w:rPr>
          <w:sz w:val="22"/>
          <w:szCs w:val="22"/>
        </w:rPr>
        <w:t xml:space="preserve">The </w:t>
      </w:r>
      <w:r>
        <w:rPr>
          <w:sz w:val="22"/>
          <w:szCs w:val="22"/>
        </w:rPr>
        <w:t>Food Bank of the Southern Tier (FBST)</w:t>
      </w:r>
      <w:r w:rsidRPr="00373F75">
        <w:rPr>
          <w:sz w:val="22"/>
          <w:szCs w:val="22"/>
        </w:rPr>
        <w:t xml:space="preserve"> Board of Directors will prudently invest endowment</w:t>
      </w:r>
      <w:r>
        <w:rPr>
          <w:sz w:val="22"/>
          <w:szCs w:val="22"/>
        </w:rPr>
        <w:t>, reserve</w:t>
      </w:r>
      <w:r w:rsidRPr="00373F75">
        <w:rPr>
          <w:sz w:val="22"/>
          <w:szCs w:val="22"/>
        </w:rPr>
        <w:t xml:space="preserve"> and other long term funds.  The Board delegates the responsibility for implementing and monitoring this policy to the </w:t>
      </w:r>
      <w:r>
        <w:rPr>
          <w:sz w:val="22"/>
          <w:szCs w:val="22"/>
        </w:rPr>
        <w:t>FBST</w:t>
      </w:r>
      <w:r w:rsidRPr="00373F75">
        <w:rPr>
          <w:sz w:val="22"/>
          <w:szCs w:val="22"/>
        </w:rPr>
        <w:t xml:space="preserve"> Finance Committee.  </w:t>
      </w:r>
    </w:p>
    <w:p w:rsidR="00D84A34" w:rsidRPr="00373F75" w:rsidRDefault="00D84A34" w:rsidP="00D84A34">
      <w:pPr>
        <w:rPr>
          <w:sz w:val="22"/>
          <w:szCs w:val="22"/>
        </w:rPr>
      </w:pPr>
    </w:p>
    <w:p w:rsidR="00D84A34" w:rsidRPr="00373F75" w:rsidRDefault="00D84A34" w:rsidP="00D84A34">
      <w:pPr>
        <w:rPr>
          <w:sz w:val="22"/>
          <w:szCs w:val="22"/>
        </w:rPr>
      </w:pPr>
    </w:p>
    <w:p w:rsidR="00D84A34" w:rsidRPr="00373F75" w:rsidRDefault="00D84A34" w:rsidP="00D84A34">
      <w:pPr>
        <w:rPr>
          <w:sz w:val="22"/>
          <w:szCs w:val="22"/>
        </w:rPr>
      </w:pPr>
      <w:r w:rsidRPr="00373F75">
        <w:rPr>
          <w:sz w:val="22"/>
          <w:szCs w:val="22"/>
        </w:rPr>
        <w:t>B.</w:t>
      </w:r>
      <w:r w:rsidRPr="00373F75">
        <w:rPr>
          <w:sz w:val="22"/>
          <w:szCs w:val="22"/>
        </w:rPr>
        <w:tab/>
        <w:t>PROCEDURES</w:t>
      </w:r>
    </w:p>
    <w:p w:rsidR="00D84A34" w:rsidRPr="00373F75" w:rsidRDefault="00D84A34" w:rsidP="00D84A34">
      <w:pPr>
        <w:rPr>
          <w:sz w:val="22"/>
          <w:szCs w:val="22"/>
        </w:rPr>
      </w:pPr>
    </w:p>
    <w:p w:rsidR="00D84A34" w:rsidRPr="000A45D2" w:rsidRDefault="00D84A34" w:rsidP="00D84A34">
      <w:pPr>
        <w:pStyle w:val="ListParagraph"/>
        <w:numPr>
          <w:ilvl w:val="0"/>
          <w:numId w:val="1"/>
        </w:numPr>
        <w:rPr>
          <w:sz w:val="22"/>
          <w:szCs w:val="22"/>
        </w:rPr>
      </w:pPr>
      <w:r w:rsidRPr="000A45D2">
        <w:rPr>
          <w:sz w:val="22"/>
          <w:szCs w:val="22"/>
        </w:rPr>
        <w:t>The Communis Fund of</w:t>
      </w:r>
      <w:r>
        <w:rPr>
          <w:sz w:val="22"/>
          <w:szCs w:val="22"/>
        </w:rPr>
        <w:t xml:space="preserve"> the Diocese of Rochester, Inc. </w:t>
      </w:r>
      <w:r w:rsidRPr="000A45D2">
        <w:rPr>
          <w:sz w:val="22"/>
          <w:szCs w:val="22"/>
        </w:rPr>
        <w:t xml:space="preserve">shall be the default Investment Manager for </w:t>
      </w:r>
      <w:r>
        <w:rPr>
          <w:sz w:val="22"/>
          <w:szCs w:val="22"/>
        </w:rPr>
        <w:t>FBST</w:t>
      </w:r>
      <w:r w:rsidRPr="000A45D2">
        <w:rPr>
          <w:sz w:val="22"/>
          <w:szCs w:val="22"/>
        </w:rPr>
        <w:t xml:space="preserve"> investment funds.  As such, the Communis Fund IPS Objectives and Guidelines are accepted.</w:t>
      </w:r>
    </w:p>
    <w:p w:rsidR="00D84A34" w:rsidRPr="000A45D2" w:rsidRDefault="00D84A34" w:rsidP="00D84A34">
      <w:pPr>
        <w:pStyle w:val="ListParagraph"/>
        <w:numPr>
          <w:ilvl w:val="0"/>
          <w:numId w:val="1"/>
        </w:numPr>
        <w:rPr>
          <w:sz w:val="22"/>
          <w:szCs w:val="22"/>
        </w:rPr>
      </w:pPr>
      <w:r w:rsidRPr="000A45D2">
        <w:rPr>
          <w:sz w:val="22"/>
          <w:szCs w:val="22"/>
        </w:rPr>
        <w:t xml:space="preserve">When the </w:t>
      </w:r>
      <w:r>
        <w:rPr>
          <w:sz w:val="22"/>
          <w:szCs w:val="22"/>
        </w:rPr>
        <w:t>FBST</w:t>
      </w:r>
      <w:r w:rsidRPr="000A45D2">
        <w:rPr>
          <w:sz w:val="22"/>
          <w:szCs w:val="22"/>
        </w:rPr>
        <w:t xml:space="preserve"> Finance Committee elects to use an investment manager other than Communis, it will conduct an orderly process to select (an) Investment Manager(s).  </w:t>
      </w:r>
    </w:p>
    <w:p w:rsidR="00D84A34" w:rsidRPr="000A45D2" w:rsidRDefault="00D84A34" w:rsidP="00D84A34">
      <w:pPr>
        <w:pStyle w:val="ListParagraph"/>
        <w:numPr>
          <w:ilvl w:val="0"/>
          <w:numId w:val="1"/>
        </w:numPr>
        <w:rPr>
          <w:sz w:val="22"/>
          <w:szCs w:val="22"/>
        </w:rPr>
      </w:pPr>
      <w:r w:rsidRPr="000A45D2">
        <w:rPr>
          <w:sz w:val="22"/>
          <w:szCs w:val="22"/>
        </w:rPr>
        <w:t>Investments shall conform to The Investment Objectives, Goals and Guidelines in Sections D, E and F of this Policy.</w:t>
      </w:r>
    </w:p>
    <w:p w:rsidR="00D84A34" w:rsidRPr="000A45D2" w:rsidRDefault="00D84A34" w:rsidP="00D84A34">
      <w:pPr>
        <w:pStyle w:val="ListParagraph"/>
        <w:numPr>
          <w:ilvl w:val="0"/>
          <w:numId w:val="1"/>
        </w:numPr>
        <w:rPr>
          <w:sz w:val="22"/>
          <w:szCs w:val="22"/>
        </w:rPr>
      </w:pPr>
      <w:r w:rsidRPr="000A45D2">
        <w:rPr>
          <w:sz w:val="22"/>
          <w:szCs w:val="22"/>
        </w:rPr>
        <w:t>Annually, the Finance Committee will meet with each Investment Manager for a thorough review of performance.</w:t>
      </w:r>
    </w:p>
    <w:p w:rsidR="00D84A34" w:rsidRPr="00373F75" w:rsidRDefault="00D84A34" w:rsidP="00D84A34">
      <w:pPr>
        <w:rPr>
          <w:sz w:val="22"/>
          <w:szCs w:val="22"/>
        </w:rPr>
      </w:pPr>
    </w:p>
    <w:p w:rsidR="00D84A34" w:rsidRPr="00373F75" w:rsidRDefault="00D84A34" w:rsidP="00D84A34">
      <w:pPr>
        <w:rPr>
          <w:sz w:val="22"/>
          <w:szCs w:val="22"/>
        </w:rPr>
      </w:pPr>
    </w:p>
    <w:p w:rsidR="00D84A34" w:rsidRPr="00373F75" w:rsidRDefault="00D84A34" w:rsidP="00D84A34">
      <w:pPr>
        <w:rPr>
          <w:sz w:val="22"/>
          <w:szCs w:val="22"/>
        </w:rPr>
      </w:pPr>
      <w:r w:rsidRPr="00373F75">
        <w:rPr>
          <w:sz w:val="22"/>
          <w:szCs w:val="22"/>
        </w:rPr>
        <w:t>C.</w:t>
      </w:r>
      <w:r w:rsidRPr="00373F75">
        <w:rPr>
          <w:sz w:val="22"/>
          <w:szCs w:val="22"/>
        </w:rPr>
        <w:tab/>
        <w:t>MONITORING</w:t>
      </w:r>
    </w:p>
    <w:p w:rsidR="00D84A34" w:rsidRPr="00373F75" w:rsidRDefault="00D84A34" w:rsidP="00D84A34">
      <w:pPr>
        <w:rPr>
          <w:sz w:val="22"/>
          <w:szCs w:val="22"/>
        </w:rPr>
      </w:pPr>
    </w:p>
    <w:p w:rsidR="00D84A34" w:rsidRDefault="00D84A34" w:rsidP="00D84A34">
      <w:pPr>
        <w:ind w:left="720"/>
        <w:rPr>
          <w:sz w:val="22"/>
          <w:szCs w:val="22"/>
        </w:rPr>
      </w:pPr>
      <w:r w:rsidRPr="00373F75">
        <w:rPr>
          <w:sz w:val="22"/>
          <w:szCs w:val="22"/>
        </w:rPr>
        <w:t>The Finance Committee shall review Investment Performance quarterly and report performance results annually to the Board of Directors.  The Finance Committee will review this Investment Policy every two years.</w:t>
      </w:r>
    </w:p>
    <w:p w:rsidR="00D84A34" w:rsidRPr="00373F75" w:rsidRDefault="00D84A34" w:rsidP="00D84A34">
      <w:pPr>
        <w:rPr>
          <w:sz w:val="22"/>
          <w:szCs w:val="22"/>
        </w:rPr>
      </w:pPr>
    </w:p>
    <w:p w:rsidR="00D84A34" w:rsidRPr="00373F75" w:rsidRDefault="00D84A34" w:rsidP="00D84A34">
      <w:pPr>
        <w:rPr>
          <w:sz w:val="22"/>
          <w:szCs w:val="22"/>
        </w:rPr>
      </w:pPr>
    </w:p>
    <w:p w:rsidR="00D84A34" w:rsidRPr="00373F75" w:rsidRDefault="00D84A34" w:rsidP="00D84A34">
      <w:pPr>
        <w:rPr>
          <w:sz w:val="22"/>
          <w:szCs w:val="22"/>
        </w:rPr>
      </w:pPr>
      <w:r w:rsidRPr="00373F75">
        <w:rPr>
          <w:sz w:val="22"/>
          <w:szCs w:val="22"/>
        </w:rPr>
        <w:t>D.</w:t>
      </w:r>
      <w:r w:rsidRPr="00373F75">
        <w:rPr>
          <w:sz w:val="22"/>
          <w:szCs w:val="22"/>
        </w:rPr>
        <w:tab/>
        <w:t>INVESTMENT OBJECTIVES</w:t>
      </w:r>
    </w:p>
    <w:p w:rsidR="00D84A34" w:rsidRPr="00373F75" w:rsidRDefault="00D84A34" w:rsidP="00D84A34">
      <w:pPr>
        <w:rPr>
          <w:sz w:val="22"/>
          <w:szCs w:val="22"/>
        </w:rPr>
      </w:pPr>
    </w:p>
    <w:p w:rsidR="00D84A34" w:rsidRPr="00373F75" w:rsidRDefault="00D84A34" w:rsidP="00D84A34">
      <w:pPr>
        <w:rPr>
          <w:sz w:val="22"/>
          <w:szCs w:val="22"/>
        </w:rPr>
      </w:pPr>
      <w:r w:rsidRPr="00373F75">
        <w:rPr>
          <w:sz w:val="22"/>
          <w:szCs w:val="22"/>
        </w:rPr>
        <w:tab/>
        <w:t>The primary objectives of this policy are as follows:</w:t>
      </w:r>
    </w:p>
    <w:p w:rsidR="00D84A34" w:rsidRPr="00373F75" w:rsidRDefault="00D84A34" w:rsidP="00D84A34">
      <w:pPr>
        <w:rPr>
          <w:sz w:val="22"/>
          <w:szCs w:val="22"/>
        </w:rPr>
      </w:pPr>
    </w:p>
    <w:p w:rsidR="00D84A34" w:rsidRPr="000A45D2" w:rsidRDefault="00D84A34" w:rsidP="00D84A34">
      <w:pPr>
        <w:pStyle w:val="ListParagraph"/>
        <w:numPr>
          <w:ilvl w:val="0"/>
          <w:numId w:val="3"/>
        </w:numPr>
        <w:rPr>
          <w:sz w:val="22"/>
          <w:szCs w:val="22"/>
        </w:rPr>
      </w:pPr>
      <w:r w:rsidRPr="000A45D2">
        <w:rPr>
          <w:sz w:val="22"/>
          <w:szCs w:val="22"/>
        </w:rPr>
        <w:t>To preserve purchasing power so that asset growth, exclusive of contributions and withdrawals, exceeds the rate of inflation.</w:t>
      </w:r>
    </w:p>
    <w:p w:rsidR="00D84A34" w:rsidRPr="000A45D2" w:rsidRDefault="00D84A34" w:rsidP="00D84A34">
      <w:pPr>
        <w:pStyle w:val="ListParagraph"/>
        <w:numPr>
          <w:ilvl w:val="0"/>
          <w:numId w:val="3"/>
        </w:numPr>
        <w:rPr>
          <w:sz w:val="22"/>
          <w:szCs w:val="22"/>
        </w:rPr>
      </w:pPr>
      <w:r w:rsidRPr="000A45D2">
        <w:rPr>
          <w:sz w:val="22"/>
          <w:szCs w:val="22"/>
        </w:rPr>
        <w:t xml:space="preserve">To generate income to help accomplish the </w:t>
      </w:r>
      <w:r>
        <w:rPr>
          <w:sz w:val="22"/>
          <w:szCs w:val="22"/>
        </w:rPr>
        <w:t>FBST</w:t>
      </w:r>
      <w:r w:rsidRPr="000A45D2">
        <w:rPr>
          <w:sz w:val="22"/>
          <w:szCs w:val="22"/>
        </w:rPr>
        <w:t xml:space="preserve"> mission.</w:t>
      </w:r>
    </w:p>
    <w:p w:rsidR="00D84A34" w:rsidRPr="00373F75" w:rsidRDefault="00D84A34" w:rsidP="00D84A34">
      <w:pPr>
        <w:rPr>
          <w:sz w:val="22"/>
          <w:szCs w:val="22"/>
        </w:rPr>
      </w:pPr>
    </w:p>
    <w:p w:rsidR="00D84A34" w:rsidRPr="00373F75" w:rsidRDefault="00D84A34" w:rsidP="00D84A34">
      <w:pPr>
        <w:rPr>
          <w:sz w:val="22"/>
          <w:szCs w:val="22"/>
        </w:rPr>
      </w:pPr>
    </w:p>
    <w:p w:rsidR="00D84A34" w:rsidRPr="00373F75" w:rsidRDefault="00D84A34" w:rsidP="00D84A34">
      <w:pPr>
        <w:rPr>
          <w:sz w:val="22"/>
          <w:szCs w:val="22"/>
        </w:rPr>
      </w:pPr>
      <w:r w:rsidRPr="00373F75">
        <w:rPr>
          <w:sz w:val="22"/>
          <w:szCs w:val="22"/>
        </w:rPr>
        <w:t>E.</w:t>
      </w:r>
      <w:r w:rsidRPr="00373F75">
        <w:rPr>
          <w:sz w:val="22"/>
          <w:szCs w:val="22"/>
        </w:rPr>
        <w:tab/>
        <w:t>INVESTMENT GOALS</w:t>
      </w:r>
    </w:p>
    <w:p w:rsidR="00D84A34" w:rsidRPr="00373F75" w:rsidRDefault="00D84A34" w:rsidP="00D84A34">
      <w:pPr>
        <w:rPr>
          <w:sz w:val="22"/>
          <w:szCs w:val="22"/>
        </w:rPr>
      </w:pPr>
    </w:p>
    <w:p w:rsidR="00D84A34" w:rsidRPr="000A45D2" w:rsidRDefault="00D84A34" w:rsidP="00D84A34">
      <w:pPr>
        <w:pStyle w:val="ListParagraph"/>
        <w:numPr>
          <w:ilvl w:val="0"/>
          <w:numId w:val="5"/>
        </w:numPr>
        <w:rPr>
          <w:sz w:val="22"/>
          <w:szCs w:val="22"/>
        </w:rPr>
      </w:pPr>
      <w:r w:rsidRPr="000A45D2">
        <w:rPr>
          <w:sz w:val="22"/>
          <w:szCs w:val="22"/>
        </w:rPr>
        <w:t>To exceed the rate of inflation (as measured by the Consumer Price Index) by at least 300 basis points on an annualized basis.</w:t>
      </w:r>
    </w:p>
    <w:p w:rsidR="007D23C4" w:rsidRPr="00EF2235" w:rsidRDefault="00D84A34" w:rsidP="00EF2235">
      <w:pPr>
        <w:pStyle w:val="ListParagraph"/>
        <w:numPr>
          <w:ilvl w:val="0"/>
          <w:numId w:val="5"/>
        </w:numPr>
        <w:rPr>
          <w:sz w:val="22"/>
          <w:szCs w:val="22"/>
        </w:rPr>
      </w:pPr>
      <w:r w:rsidRPr="000A45D2">
        <w:rPr>
          <w:sz w:val="22"/>
          <w:szCs w:val="22"/>
        </w:rPr>
        <w:t>To exceed the return of a Market Index comprised of the Standard and Poor’s 500 Stock Index (S&amp;P 500), Shearson Lehmen Aggregate Bond Index and U.S. Treasury Bills, weighted to match the long term asset mix of this policy.</w:t>
      </w:r>
    </w:p>
    <w:p w:rsidR="00D84A34" w:rsidRDefault="00D84A34" w:rsidP="00D84A34">
      <w:pPr>
        <w:pStyle w:val="ListParagraph"/>
        <w:numPr>
          <w:ilvl w:val="0"/>
          <w:numId w:val="5"/>
        </w:numPr>
        <w:rPr>
          <w:sz w:val="22"/>
          <w:szCs w:val="22"/>
        </w:rPr>
      </w:pPr>
      <w:r w:rsidRPr="00A86029">
        <w:rPr>
          <w:sz w:val="22"/>
          <w:szCs w:val="22"/>
        </w:rPr>
        <w:t>If the weighted “Market Index” identified in item #2 above is not representative of the invested asset mix at any given time, the Finance Committee is authorized to choose an appropriate benchmark for the specific funds invested</w:t>
      </w:r>
      <w:r w:rsidR="007D23C4">
        <w:rPr>
          <w:sz w:val="22"/>
          <w:szCs w:val="22"/>
        </w:rPr>
        <w:t xml:space="preserve"> in accordance with this policy.</w:t>
      </w:r>
    </w:p>
    <w:p w:rsidR="00EF2235" w:rsidRPr="00EF2235" w:rsidRDefault="00EF2235" w:rsidP="00EF2235">
      <w:pPr>
        <w:rPr>
          <w:sz w:val="22"/>
          <w:szCs w:val="22"/>
        </w:rPr>
      </w:pPr>
    </w:p>
    <w:p w:rsidR="00D84A34" w:rsidRPr="00373F75" w:rsidRDefault="00D84A34" w:rsidP="00D84A34">
      <w:pPr>
        <w:rPr>
          <w:sz w:val="22"/>
          <w:szCs w:val="22"/>
        </w:rPr>
      </w:pPr>
      <w:r w:rsidRPr="00373F75">
        <w:rPr>
          <w:sz w:val="22"/>
          <w:szCs w:val="22"/>
        </w:rPr>
        <w:lastRenderedPageBreak/>
        <w:t>F.</w:t>
      </w:r>
      <w:r w:rsidRPr="00373F75">
        <w:rPr>
          <w:sz w:val="22"/>
          <w:szCs w:val="22"/>
        </w:rPr>
        <w:tab/>
        <w:t>INVESTMENT GUIDELINES</w:t>
      </w:r>
    </w:p>
    <w:p w:rsidR="00D84A34" w:rsidRPr="00373F75" w:rsidRDefault="00D84A34" w:rsidP="00D84A34">
      <w:pPr>
        <w:rPr>
          <w:sz w:val="22"/>
          <w:szCs w:val="22"/>
        </w:rPr>
      </w:pPr>
    </w:p>
    <w:p w:rsidR="00D84A34" w:rsidRPr="00373F75" w:rsidRDefault="00D84A34" w:rsidP="00D84A34">
      <w:pPr>
        <w:ind w:left="720"/>
        <w:rPr>
          <w:sz w:val="22"/>
          <w:szCs w:val="22"/>
        </w:rPr>
      </w:pPr>
      <w:r w:rsidRPr="00373F75">
        <w:rPr>
          <w:sz w:val="22"/>
          <w:szCs w:val="22"/>
        </w:rPr>
        <w:t>While high levels of risk are to be avoided, as evidenced by high volatility and low quality rated securities, the assumption of risk is warranted and encouraged in order to allow the opportunity to achieve satisfactory long term results consistent with the objectives and fiduciary character of the fund.</w:t>
      </w:r>
    </w:p>
    <w:p w:rsidR="00D84A34" w:rsidRPr="00373F75" w:rsidRDefault="00D84A34" w:rsidP="00D84A34">
      <w:pPr>
        <w:ind w:left="720"/>
        <w:rPr>
          <w:sz w:val="22"/>
          <w:szCs w:val="22"/>
        </w:rPr>
      </w:pPr>
    </w:p>
    <w:p w:rsidR="00D84A34" w:rsidRPr="00D6745C" w:rsidRDefault="00D84A34" w:rsidP="00D84A34">
      <w:pPr>
        <w:pStyle w:val="ListParagraph"/>
        <w:numPr>
          <w:ilvl w:val="0"/>
          <w:numId w:val="11"/>
        </w:numPr>
        <w:rPr>
          <w:sz w:val="22"/>
          <w:szCs w:val="22"/>
        </w:rPr>
      </w:pPr>
      <w:r w:rsidRPr="00D6745C">
        <w:rPr>
          <w:sz w:val="22"/>
          <w:szCs w:val="22"/>
        </w:rPr>
        <w:t>Types of Assets</w:t>
      </w:r>
    </w:p>
    <w:p w:rsidR="00D84A34" w:rsidRPr="00D6745C" w:rsidRDefault="00D84A34" w:rsidP="00D84A34">
      <w:pPr>
        <w:pStyle w:val="ListParagraph"/>
        <w:ind w:left="1440"/>
        <w:rPr>
          <w:sz w:val="22"/>
          <w:szCs w:val="22"/>
        </w:rPr>
      </w:pPr>
    </w:p>
    <w:p w:rsidR="00D84A34" w:rsidRDefault="00D84A34" w:rsidP="00D84A34">
      <w:pPr>
        <w:ind w:left="1440"/>
        <w:rPr>
          <w:sz w:val="22"/>
          <w:szCs w:val="22"/>
        </w:rPr>
      </w:pPr>
      <w:r w:rsidRPr="00373F75">
        <w:rPr>
          <w:sz w:val="22"/>
          <w:szCs w:val="22"/>
        </w:rPr>
        <w:t>All assets selected for the portfolio must have a readily ascertainable market value and must be readily marketable.  In order to provide the Finance Committee with flexibility to invest in various types of assets, the following list of types of assets is among those approved for investment:</w:t>
      </w:r>
    </w:p>
    <w:p w:rsidR="00D84A34" w:rsidRPr="00373F75" w:rsidRDefault="00D84A34" w:rsidP="00D84A34">
      <w:pPr>
        <w:ind w:left="1440"/>
        <w:rPr>
          <w:sz w:val="22"/>
          <w:szCs w:val="22"/>
        </w:rPr>
      </w:pPr>
    </w:p>
    <w:p w:rsidR="00D84A34" w:rsidRPr="00373F75" w:rsidRDefault="00D84A34" w:rsidP="00D84A34">
      <w:pPr>
        <w:ind w:left="1440"/>
        <w:rPr>
          <w:sz w:val="22"/>
          <w:szCs w:val="22"/>
        </w:rPr>
      </w:pPr>
      <w:r w:rsidRPr="00373F75">
        <w:rPr>
          <w:sz w:val="22"/>
          <w:szCs w:val="22"/>
        </w:rPr>
        <w:t>Equities:</w:t>
      </w:r>
    </w:p>
    <w:p w:rsidR="00D84A34" w:rsidRPr="000A45D2" w:rsidRDefault="00D84A34" w:rsidP="00D84A34">
      <w:pPr>
        <w:pStyle w:val="ListParagraph"/>
        <w:numPr>
          <w:ilvl w:val="0"/>
          <w:numId w:val="7"/>
        </w:numPr>
        <w:ind w:left="2160"/>
        <w:rPr>
          <w:sz w:val="22"/>
          <w:szCs w:val="22"/>
        </w:rPr>
      </w:pPr>
      <w:r w:rsidRPr="000A45D2">
        <w:rPr>
          <w:sz w:val="22"/>
          <w:szCs w:val="22"/>
        </w:rPr>
        <w:t>Common stocks</w:t>
      </w:r>
    </w:p>
    <w:p w:rsidR="00D84A34" w:rsidRPr="000A45D2" w:rsidRDefault="00D84A34" w:rsidP="00D84A34">
      <w:pPr>
        <w:pStyle w:val="ListParagraph"/>
        <w:numPr>
          <w:ilvl w:val="0"/>
          <w:numId w:val="7"/>
        </w:numPr>
        <w:ind w:left="2160"/>
        <w:rPr>
          <w:sz w:val="22"/>
          <w:szCs w:val="22"/>
        </w:rPr>
      </w:pPr>
      <w:r w:rsidRPr="000A45D2">
        <w:rPr>
          <w:sz w:val="22"/>
          <w:szCs w:val="22"/>
        </w:rPr>
        <w:t>Preferred stocks</w:t>
      </w:r>
    </w:p>
    <w:p w:rsidR="00D84A34" w:rsidRPr="000A45D2" w:rsidRDefault="00D84A34" w:rsidP="00D84A34">
      <w:pPr>
        <w:pStyle w:val="ListParagraph"/>
        <w:numPr>
          <w:ilvl w:val="0"/>
          <w:numId w:val="7"/>
        </w:numPr>
        <w:ind w:left="2160"/>
        <w:rPr>
          <w:sz w:val="22"/>
          <w:szCs w:val="22"/>
        </w:rPr>
      </w:pPr>
      <w:r w:rsidRPr="000A45D2">
        <w:rPr>
          <w:sz w:val="22"/>
          <w:szCs w:val="22"/>
        </w:rPr>
        <w:t>Convertible securities</w:t>
      </w:r>
    </w:p>
    <w:p w:rsidR="00D84A34" w:rsidRPr="000A45D2" w:rsidRDefault="00D84A34" w:rsidP="00D84A34">
      <w:pPr>
        <w:pStyle w:val="ListParagraph"/>
        <w:numPr>
          <w:ilvl w:val="0"/>
          <w:numId w:val="7"/>
        </w:numPr>
        <w:ind w:left="2160"/>
        <w:rPr>
          <w:sz w:val="22"/>
          <w:szCs w:val="22"/>
        </w:rPr>
      </w:pPr>
      <w:r w:rsidRPr="000A45D2">
        <w:rPr>
          <w:sz w:val="22"/>
          <w:szCs w:val="22"/>
        </w:rPr>
        <w:t>American Depository Receipts (ADR’s) of Foreign Cos.</w:t>
      </w:r>
    </w:p>
    <w:p w:rsidR="00D84A34" w:rsidRPr="00373F75" w:rsidRDefault="00D84A34" w:rsidP="00D84A34">
      <w:pPr>
        <w:ind w:left="1440"/>
        <w:rPr>
          <w:sz w:val="22"/>
          <w:szCs w:val="22"/>
        </w:rPr>
      </w:pPr>
    </w:p>
    <w:p w:rsidR="00D84A34" w:rsidRPr="00373F75" w:rsidRDefault="00D84A34" w:rsidP="00D84A34">
      <w:pPr>
        <w:ind w:left="1440"/>
        <w:rPr>
          <w:sz w:val="22"/>
          <w:szCs w:val="22"/>
        </w:rPr>
      </w:pPr>
      <w:r w:rsidRPr="00373F75">
        <w:rPr>
          <w:sz w:val="22"/>
          <w:szCs w:val="22"/>
        </w:rPr>
        <w:t>Fixed Income Investments:</w:t>
      </w:r>
    </w:p>
    <w:p w:rsidR="00D84A34" w:rsidRPr="000A45D2" w:rsidRDefault="00D84A34" w:rsidP="00D84A34">
      <w:pPr>
        <w:pStyle w:val="ListParagraph"/>
        <w:numPr>
          <w:ilvl w:val="0"/>
          <w:numId w:val="8"/>
        </w:numPr>
        <w:ind w:left="2160"/>
        <w:rPr>
          <w:sz w:val="22"/>
          <w:szCs w:val="22"/>
        </w:rPr>
      </w:pPr>
      <w:r w:rsidRPr="000A45D2">
        <w:rPr>
          <w:sz w:val="22"/>
          <w:szCs w:val="22"/>
        </w:rPr>
        <w:t>U.S. Government and Agency Securities</w:t>
      </w:r>
    </w:p>
    <w:p w:rsidR="00D84A34" w:rsidRPr="000A45D2" w:rsidRDefault="00D84A34" w:rsidP="00D84A34">
      <w:pPr>
        <w:pStyle w:val="ListParagraph"/>
        <w:numPr>
          <w:ilvl w:val="0"/>
          <w:numId w:val="8"/>
        </w:numPr>
        <w:ind w:left="2160"/>
        <w:rPr>
          <w:sz w:val="22"/>
          <w:szCs w:val="22"/>
        </w:rPr>
      </w:pPr>
      <w:r w:rsidRPr="000A45D2">
        <w:rPr>
          <w:sz w:val="22"/>
          <w:szCs w:val="22"/>
        </w:rPr>
        <w:t>Commercial Paper</w:t>
      </w:r>
    </w:p>
    <w:p w:rsidR="00D84A34" w:rsidRPr="000A45D2" w:rsidRDefault="00D84A34" w:rsidP="00D84A34">
      <w:pPr>
        <w:pStyle w:val="ListParagraph"/>
        <w:numPr>
          <w:ilvl w:val="0"/>
          <w:numId w:val="8"/>
        </w:numPr>
        <w:ind w:left="2160"/>
        <w:rPr>
          <w:sz w:val="22"/>
          <w:szCs w:val="22"/>
        </w:rPr>
      </w:pPr>
      <w:r w:rsidRPr="000A45D2">
        <w:rPr>
          <w:sz w:val="22"/>
          <w:szCs w:val="22"/>
        </w:rPr>
        <w:t>Certificates of Deposit</w:t>
      </w:r>
    </w:p>
    <w:p w:rsidR="00D84A34" w:rsidRPr="000A45D2" w:rsidRDefault="00D84A34" w:rsidP="00D84A34">
      <w:pPr>
        <w:pStyle w:val="ListParagraph"/>
        <w:numPr>
          <w:ilvl w:val="0"/>
          <w:numId w:val="8"/>
        </w:numPr>
        <w:ind w:left="2160"/>
        <w:rPr>
          <w:sz w:val="22"/>
          <w:szCs w:val="22"/>
        </w:rPr>
      </w:pPr>
      <w:r w:rsidRPr="000A45D2">
        <w:rPr>
          <w:sz w:val="22"/>
          <w:szCs w:val="22"/>
        </w:rPr>
        <w:t>Corporate Bonds</w:t>
      </w:r>
    </w:p>
    <w:p w:rsidR="00D84A34" w:rsidRPr="00373F75" w:rsidRDefault="00D84A34" w:rsidP="00D84A34">
      <w:pPr>
        <w:ind w:left="1440"/>
        <w:rPr>
          <w:sz w:val="22"/>
          <w:szCs w:val="22"/>
        </w:rPr>
      </w:pPr>
    </w:p>
    <w:p w:rsidR="00D84A34" w:rsidRPr="00373F75" w:rsidRDefault="00D84A34" w:rsidP="00D84A34">
      <w:pPr>
        <w:ind w:left="1440"/>
        <w:rPr>
          <w:sz w:val="22"/>
          <w:szCs w:val="22"/>
        </w:rPr>
      </w:pPr>
      <w:r w:rsidRPr="00373F75">
        <w:rPr>
          <w:sz w:val="22"/>
          <w:szCs w:val="22"/>
        </w:rPr>
        <w:t>The following types of assets or transactions are expressly prohibited:</w:t>
      </w:r>
    </w:p>
    <w:p w:rsidR="00D84A34" w:rsidRPr="000A45D2" w:rsidRDefault="00D84A34" w:rsidP="00D84A34">
      <w:pPr>
        <w:pStyle w:val="ListParagraph"/>
        <w:numPr>
          <w:ilvl w:val="0"/>
          <w:numId w:val="9"/>
        </w:numPr>
        <w:ind w:left="2160"/>
        <w:rPr>
          <w:sz w:val="22"/>
          <w:szCs w:val="22"/>
        </w:rPr>
      </w:pPr>
      <w:r w:rsidRPr="000A45D2">
        <w:rPr>
          <w:sz w:val="22"/>
          <w:szCs w:val="22"/>
        </w:rPr>
        <w:t>Unregistered or restricted stock</w:t>
      </w:r>
    </w:p>
    <w:p w:rsidR="00D84A34" w:rsidRPr="000A45D2" w:rsidRDefault="00D84A34" w:rsidP="00D84A34">
      <w:pPr>
        <w:pStyle w:val="ListParagraph"/>
        <w:numPr>
          <w:ilvl w:val="0"/>
          <w:numId w:val="9"/>
        </w:numPr>
        <w:ind w:left="2160"/>
        <w:rPr>
          <w:sz w:val="22"/>
          <w:szCs w:val="22"/>
        </w:rPr>
      </w:pPr>
      <w:r w:rsidRPr="000A45D2">
        <w:rPr>
          <w:sz w:val="22"/>
          <w:szCs w:val="22"/>
        </w:rPr>
        <w:t>Commodities, commodity ETF’s or commodity funds</w:t>
      </w:r>
    </w:p>
    <w:p w:rsidR="00D84A34" w:rsidRPr="000A45D2" w:rsidRDefault="00D84A34" w:rsidP="00D84A34">
      <w:pPr>
        <w:pStyle w:val="ListParagraph"/>
        <w:numPr>
          <w:ilvl w:val="0"/>
          <w:numId w:val="9"/>
        </w:numPr>
        <w:ind w:left="2160"/>
        <w:rPr>
          <w:sz w:val="22"/>
          <w:szCs w:val="22"/>
        </w:rPr>
      </w:pPr>
      <w:r w:rsidRPr="000A45D2">
        <w:rPr>
          <w:sz w:val="22"/>
          <w:szCs w:val="22"/>
        </w:rPr>
        <w:t>Private placements</w:t>
      </w:r>
    </w:p>
    <w:p w:rsidR="00D84A34" w:rsidRPr="000A45D2" w:rsidRDefault="00D84A34" w:rsidP="00D84A34">
      <w:pPr>
        <w:pStyle w:val="ListParagraph"/>
        <w:numPr>
          <w:ilvl w:val="0"/>
          <w:numId w:val="9"/>
        </w:numPr>
        <w:ind w:left="2160"/>
        <w:rPr>
          <w:sz w:val="22"/>
          <w:szCs w:val="22"/>
        </w:rPr>
      </w:pPr>
      <w:r w:rsidRPr="000A45D2">
        <w:rPr>
          <w:sz w:val="22"/>
          <w:szCs w:val="22"/>
        </w:rPr>
        <w:t>Conditional sales contracts</w:t>
      </w:r>
    </w:p>
    <w:p w:rsidR="00D84A34" w:rsidRPr="000A45D2" w:rsidRDefault="00D84A34" w:rsidP="00D84A34">
      <w:pPr>
        <w:pStyle w:val="ListParagraph"/>
        <w:numPr>
          <w:ilvl w:val="0"/>
          <w:numId w:val="9"/>
        </w:numPr>
        <w:ind w:left="2160"/>
        <w:rPr>
          <w:sz w:val="22"/>
          <w:szCs w:val="22"/>
        </w:rPr>
      </w:pPr>
      <w:r w:rsidRPr="000A45D2">
        <w:rPr>
          <w:sz w:val="22"/>
          <w:szCs w:val="22"/>
        </w:rPr>
        <w:t>Uncovered options</w:t>
      </w:r>
    </w:p>
    <w:p w:rsidR="00D84A34" w:rsidRPr="000A45D2" w:rsidRDefault="00D84A34" w:rsidP="00D84A34">
      <w:pPr>
        <w:pStyle w:val="ListParagraph"/>
        <w:numPr>
          <w:ilvl w:val="0"/>
          <w:numId w:val="9"/>
        </w:numPr>
        <w:ind w:left="2160"/>
        <w:rPr>
          <w:sz w:val="22"/>
          <w:szCs w:val="22"/>
        </w:rPr>
      </w:pPr>
      <w:r w:rsidRPr="000A45D2">
        <w:rPr>
          <w:sz w:val="22"/>
          <w:szCs w:val="22"/>
        </w:rPr>
        <w:t>Short sales, synthetic short positions, inverse return securities or margin purchases</w:t>
      </w:r>
    </w:p>
    <w:p w:rsidR="00D84A34" w:rsidRPr="005743E8" w:rsidRDefault="00D84A34" w:rsidP="00D84A34">
      <w:pPr>
        <w:pStyle w:val="ListParagraph"/>
        <w:numPr>
          <w:ilvl w:val="0"/>
          <w:numId w:val="9"/>
        </w:numPr>
        <w:ind w:left="2160"/>
        <w:rPr>
          <w:sz w:val="22"/>
          <w:szCs w:val="22"/>
        </w:rPr>
      </w:pPr>
      <w:r w:rsidRPr="000A45D2">
        <w:rPr>
          <w:sz w:val="22"/>
          <w:szCs w:val="22"/>
        </w:rPr>
        <w:t>Transferable certificates of participation in</w:t>
      </w:r>
      <w:r>
        <w:rPr>
          <w:sz w:val="22"/>
          <w:szCs w:val="22"/>
        </w:rPr>
        <w:t xml:space="preserve"> </w:t>
      </w:r>
      <w:r w:rsidRPr="005743E8">
        <w:rPr>
          <w:sz w:val="22"/>
          <w:szCs w:val="22"/>
        </w:rPr>
        <w:t>business trusts and limited partnerships</w:t>
      </w:r>
    </w:p>
    <w:p w:rsidR="00D84A34" w:rsidRPr="000A45D2" w:rsidRDefault="00D84A34" w:rsidP="00D84A34">
      <w:pPr>
        <w:pStyle w:val="ListParagraph"/>
        <w:numPr>
          <w:ilvl w:val="0"/>
          <w:numId w:val="9"/>
        </w:numPr>
        <w:ind w:left="2160"/>
        <w:rPr>
          <w:sz w:val="22"/>
          <w:szCs w:val="22"/>
        </w:rPr>
      </w:pPr>
      <w:r w:rsidRPr="000A45D2">
        <w:rPr>
          <w:sz w:val="22"/>
          <w:szCs w:val="22"/>
        </w:rPr>
        <w:t xml:space="preserve">Securities of investment managers or their respective parents, subsidiaries or affiliates </w:t>
      </w:r>
    </w:p>
    <w:p w:rsidR="00D84A34" w:rsidRDefault="00D84A34" w:rsidP="00D84A34">
      <w:pPr>
        <w:pStyle w:val="ListParagraph"/>
        <w:numPr>
          <w:ilvl w:val="0"/>
          <w:numId w:val="9"/>
        </w:numPr>
        <w:ind w:left="2160"/>
        <w:rPr>
          <w:sz w:val="22"/>
          <w:szCs w:val="22"/>
        </w:rPr>
      </w:pPr>
      <w:r w:rsidRPr="000A45D2">
        <w:rPr>
          <w:sz w:val="22"/>
          <w:szCs w:val="22"/>
        </w:rPr>
        <w:t xml:space="preserve">Securities in </w:t>
      </w:r>
      <w:r>
        <w:rPr>
          <w:sz w:val="22"/>
          <w:szCs w:val="22"/>
        </w:rPr>
        <w:t>violation of New York State law</w:t>
      </w:r>
    </w:p>
    <w:p w:rsidR="00D84A34" w:rsidRPr="007D23C4" w:rsidRDefault="00D84A34" w:rsidP="007D23C4">
      <w:pPr>
        <w:pStyle w:val="ListParagraph"/>
        <w:numPr>
          <w:ilvl w:val="0"/>
          <w:numId w:val="9"/>
        </w:numPr>
        <w:ind w:left="2160"/>
        <w:rPr>
          <w:sz w:val="22"/>
          <w:szCs w:val="22"/>
        </w:rPr>
      </w:pPr>
      <w:r>
        <w:rPr>
          <w:sz w:val="22"/>
          <w:szCs w:val="22"/>
        </w:rPr>
        <w:t>Leverage</w:t>
      </w:r>
    </w:p>
    <w:p w:rsidR="00D84A34" w:rsidRDefault="00D84A34" w:rsidP="00D84A34">
      <w:pPr>
        <w:pStyle w:val="ListParagraph"/>
        <w:ind w:left="1440"/>
        <w:rPr>
          <w:sz w:val="22"/>
          <w:szCs w:val="22"/>
        </w:rPr>
      </w:pPr>
    </w:p>
    <w:p w:rsidR="00D84A34" w:rsidRPr="00D6745C" w:rsidRDefault="00D84A34" w:rsidP="00D84A34">
      <w:pPr>
        <w:pStyle w:val="ListParagraph"/>
        <w:numPr>
          <w:ilvl w:val="0"/>
          <w:numId w:val="11"/>
        </w:numPr>
        <w:rPr>
          <w:sz w:val="22"/>
          <w:szCs w:val="22"/>
        </w:rPr>
      </w:pPr>
      <w:r w:rsidRPr="00D6745C">
        <w:rPr>
          <w:sz w:val="22"/>
          <w:szCs w:val="22"/>
        </w:rPr>
        <w:t>Asset Allocation</w:t>
      </w:r>
    </w:p>
    <w:p w:rsidR="00D84A34" w:rsidRPr="00D6745C" w:rsidRDefault="00D84A34" w:rsidP="00D84A34">
      <w:pPr>
        <w:pStyle w:val="ListParagraph"/>
        <w:ind w:left="1440"/>
        <w:rPr>
          <w:sz w:val="22"/>
          <w:szCs w:val="22"/>
        </w:rPr>
      </w:pPr>
    </w:p>
    <w:p w:rsidR="00D84A34" w:rsidRDefault="00D84A34" w:rsidP="00D84A34">
      <w:pPr>
        <w:ind w:left="1440"/>
        <w:rPr>
          <w:sz w:val="22"/>
          <w:szCs w:val="22"/>
        </w:rPr>
      </w:pPr>
      <w:r w:rsidRPr="00373F75">
        <w:rPr>
          <w:sz w:val="22"/>
          <w:szCs w:val="22"/>
        </w:rPr>
        <w:t>The Investment Portfolio shall be managed in accordance with the maximum and minimum range for each asset category as stated below:</w:t>
      </w:r>
    </w:p>
    <w:p w:rsidR="00D84A34" w:rsidRPr="00373F75" w:rsidRDefault="00D84A34" w:rsidP="00D84A34">
      <w:pPr>
        <w:ind w:left="1440"/>
        <w:rPr>
          <w:sz w:val="22"/>
          <w:szCs w:val="22"/>
        </w:rPr>
      </w:pPr>
    </w:p>
    <w:p w:rsidR="00D84A34" w:rsidRPr="00373F75" w:rsidRDefault="00D84A34" w:rsidP="00D84A34">
      <w:pPr>
        <w:ind w:left="1440"/>
        <w:rPr>
          <w:sz w:val="22"/>
          <w:szCs w:val="22"/>
        </w:rPr>
      </w:pPr>
      <w:r w:rsidRPr="00D6745C">
        <w:rPr>
          <w:sz w:val="22"/>
          <w:szCs w:val="22"/>
          <w:u w:val="single"/>
        </w:rPr>
        <w:t>Asset Category</w:t>
      </w:r>
      <w:r w:rsidRPr="00373F75">
        <w:rPr>
          <w:sz w:val="22"/>
          <w:szCs w:val="22"/>
        </w:rPr>
        <w:t xml:space="preserve">          </w:t>
      </w:r>
      <w:r w:rsidRPr="00D6745C">
        <w:rPr>
          <w:sz w:val="22"/>
          <w:szCs w:val="22"/>
          <w:u w:val="single"/>
        </w:rPr>
        <w:t>Minimum</w:t>
      </w:r>
      <w:r w:rsidRPr="00373F75">
        <w:rPr>
          <w:sz w:val="22"/>
          <w:szCs w:val="22"/>
        </w:rPr>
        <w:t xml:space="preserve">     </w:t>
      </w:r>
      <w:r>
        <w:rPr>
          <w:sz w:val="22"/>
          <w:szCs w:val="22"/>
        </w:rPr>
        <w:t xml:space="preserve"> </w:t>
      </w:r>
      <w:r>
        <w:rPr>
          <w:sz w:val="22"/>
          <w:szCs w:val="22"/>
          <w:u w:val="single"/>
        </w:rPr>
        <w:t>Target</w:t>
      </w:r>
      <w:r w:rsidRPr="00373F75">
        <w:rPr>
          <w:sz w:val="22"/>
          <w:szCs w:val="22"/>
        </w:rPr>
        <w:t xml:space="preserve">     </w:t>
      </w:r>
      <w:r w:rsidRPr="00D6745C">
        <w:rPr>
          <w:sz w:val="22"/>
          <w:szCs w:val="22"/>
          <w:u w:val="single"/>
        </w:rPr>
        <w:t>Maximum</w:t>
      </w:r>
    </w:p>
    <w:p w:rsidR="00D84A34" w:rsidRPr="00373F75" w:rsidRDefault="00D84A34" w:rsidP="00D84A34">
      <w:pPr>
        <w:ind w:left="1440"/>
        <w:rPr>
          <w:sz w:val="22"/>
          <w:szCs w:val="22"/>
        </w:rPr>
      </w:pPr>
      <w:r w:rsidRPr="00373F75">
        <w:rPr>
          <w:sz w:val="22"/>
          <w:szCs w:val="22"/>
        </w:rPr>
        <w:t>Eq</w:t>
      </w:r>
      <w:r>
        <w:rPr>
          <w:sz w:val="22"/>
          <w:szCs w:val="22"/>
        </w:rPr>
        <w:t>uities</w:t>
      </w:r>
      <w:r>
        <w:rPr>
          <w:sz w:val="22"/>
          <w:szCs w:val="22"/>
        </w:rPr>
        <w:tab/>
        <w:t xml:space="preserve">               </w:t>
      </w:r>
      <w:r w:rsidRPr="00373F75">
        <w:rPr>
          <w:sz w:val="22"/>
          <w:szCs w:val="22"/>
        </w:rPr>
        <w:t>0%             60%            70%</w:t>
      </w:r>
    </w:p>
    <w:p w:rsidR="00D84A34" w:rsidRPr="00373F75" w:rsidRDefault="00D84A34" w:rsidP="00D84A34">
      <w:pPr>
        <w:ind w:left="1440"/>
        <w:rPr>
          <w:sz w:val="22"/>
          <w:szCs w:val="22"/>
        </w:rPr>
      </w:pPr>
      <w:r w:rsidRPr="00373F75">
        <w:rPr>
          <w:sz w:val="22"/>
          <w:szCs w:val="22"/>
        </w:rPr>
        <w:t xml:space="preserve">Fixed Income                 </w:t>
      </w:r>
      <w:r>
        <w:rPr>
          <w:sz w:val="22"/>
          <w:szCs w:val="22"/>
        </w:rPr>
        <w:t>25%             35%            7</w:t>
      </w:r>
      <w:r w:rsidRPr="00373F75">
        <w:rPr>
          <w:sz w:val="22"/>
          <w:szCs w:val="22"/>
        </w:rPr>
        <w:t>0%</w:t>
      </w:r>
    </w:p>
    <w:p w:rsidR="00D84A34" w:rsidRPr="00373F75" w:rsidRDefault="00D84A34" w:rsidP="007D23C4">
      <w:pPr>
        <w:ind w:left="1440"/>
        <w:rPr>
          <w:sz w:val="22"/>
          <w:szCs w:val="22"/>
        </w:rPr>
      </w:pPr>
      <w:r w:rsidRPr="00373F75">
        <w:rPr>
          <w:sz w:val="22"/>
          <w:szCs w:val="22"/>
        </w:rPr>
        <w:t xml:space="preserve">Short term invest.           </w:t>
      </w:r>
      <w:r>
        <w:rPr>
          <w:sz w:val="22"/>
          <w:szCs w:val="22"/>
        </w:rPr>
        <w:t xml:space="preserve"> 5%               5%           </w:t>
      </w:r>
      <w:r w:rsidRPr="00373F75">
        <w:rPr>
          <w:sz w:val="22"/>
          <w:szCs w:val="22"/>
        </w:rPr>
        <w:t>10</w:t>
      </w:r>
      <w:r>
        <w:rPr>
          <w:sz w:val="22"/>
          <w:szCs w:val="22"/>
        </w:rPr>
        <w:t>0</w:t>
      </w:r>
      <w:r w:rsidRPr="00373F75">
        <w:rPr>
          <w:sz w:val="22"/>
          <w:szCs w:val="22"/>
        </w:rPr>
        <w:t>%</w:t>
      </w:r>
    </w:p>
    <w:p w:rsidR="00D84A34" w:rsidRDefault="00D84A34" w:rsidP="00D84A34">
      <w:pPr>
        <w:ind w:left="1440"/>
        <w:rPr>
          <w:sz w:val="22"/>
          <w:szCs w:val="22"/>
        </w:rPr>
      </w:pPr>
      <w:r>
        <w:rPr>
          <w:sz w:val="22"/>
          <w:szCs w:val="22"/>
        </w:rPr>
        <w:lastRenderedPageBreak/>
        <w:t>The asset mix target</w:t>
      </w:r>
      <w:r w:rsidRPr="00373F75">
        <w:rPr>
          <w:sz w:val="22"/>
          <w:szCs w:val="22"/>
        </w:rPr>
        <w:t xml:space="preserve"> and acceptable minimum and maximum ranges established by the Finance Committee represents a long-term view.  As such, rapid and significant market movements may cause the fund’s actual asset mix to occa</w:t>
      </w:r>
      <w:r>
        <w:rPr>
          <w:sz w:val="22"/>
          <w:szCs w:val="22"/>
        </w:rPr>
        <w:t>sionally fall outside the target</w:t>
      </w:r>
      <w:r w:rsidRPr="00373F75">
        <w:rPr>
          <w:sz w:val="22"/>
          <w:szCs w:val="22"/>
        </w:rPr>
        <w:t xml:space="preserve"> range, but it is expected any divergence should be of a short-term nature.  Rebalancing of the fund should be undertaken, as necessary, by the Finance Committee.</w:t>
      </w:r>
    </w:p>
    <w:p w:rsidR="00D84A34" w:rsidRPr="00373F75" w:rsidRDefault="00D84A34" w:rsidP="00D84A34">
      <w:pPr>
        <w:rPr>
          <w:sz w:val="22"/>
          <w:szCs w:val="22"/>
        </w:rPr>
      </w:pPr>
    </w:p>
    <w:p w:rsidR="00D84A34" w:rsidRPr="00D6745C" w:rsidRDefault="00D84A34" w:rsidP="00D84A34">
      <w:pPr>
        <w:pStyle w:val="ListParagraph"/>
        <w:numPr>
          <w:ilvl w:val="0"/>
          <w:numId w:val="11"/>
        </w:numPr>
        <w:rPr>
          <w:sz w:val="22"/>
          <w:szCs w:val="22"/>
        </w:rPr>
      </w:pPr>
      <w:r>
        <w:rPr>
          <w:sz w:val="22"/>
          <w:szCs w:val="22"/>
        </w:rPr>
        <w:t>Equities</w:t>
      </w:r>
    </w:p>
    <w:p w:rsidR="00D84A34" w:rsidRPr="00D6745C" w:rsidRDefault="00D84A34" w:rsidP="00D84A34">
      <w:pPr>
        <w:pStyle w:val="ListParagraph"/>
        <w:ind w:left="1440"/>
        <w:rPr>
          <w:sz w:val="22"/>
          <w:szCs w:val="22"/>
        </w:rPr>
      </w:pPr>
    </w:p>
    <w:p w:rsidR="00D84A34" w:rsidRDefault="00D84A34" w:rsidP="00D84A34">
      <w:pPr>
        <w:pStyle w:val="ListParagraph"/>
        <w:numPr>
          <w:ilvl w:val="0"/>
          <w:numId w:val="12"/>
        </w:numPr>
        <w:rPr>
          <w:sz w:val="22"/>
          <w:szCs w:val="22"/>
        </w:rPr>
      </w:pPr>
      <w:r w:rsidRPr="00A6672A">
        <w:rPr>
          <w:sz w:val="22"/>
          <w:szCs w:val="22"/>
        </w:rPr>
        <w:t>Diversification:  The equity portfolio should be well diversified to avoid undue exposure to any single economic sector, industry group or individual security.  This includes any individual mutual funds or family of mutual funds.</w:t>
      </w:r>
    </w:p>
    <w:p w:rsidR="00D84A34" w:rsidRPr="00A6672A" w:rsidRDefault="00D84A34" w:rsidP="00D84A34">
      <w:pPr>
        <w:pStyle w:val="ListParagraph"/>
        <w:ind w:left="2160"/>
        <w:rPr>
          <w:sz w:val="22"/>
          <w:szCs w:val="22"/>
        </w:rPr>
      </w:pPr>
    </w:p>
    <w:p w:rsidR="00D84A34" w:rsidRDefault="00D84A34" w:rsidP="00D84A34">
      <w:pPr>
        <w:pStyle w:val="ListParagraph"/>
        <w:numPr>
          <w:ilvl w:val="0"/>
          <w:numId w:val="12"/>
        </w:numPr>
        <w:rPr>
          <w:sz w:val="22"/>
          <w:szCs w:val="22"/>
        </w:rPr>
      </w:pPr>
      <w:r w:rsidRPr="00A6672A">
        <w:rPr>
          <w:sz w:val="22"/>
          <w:szCs w:val="22"/>
        </w:rPr>
        <w:t>Quality and marketability:  Common and convertible preferred stocks should be of good quality and listed on either the New York or American Stock Exchange or traded in the over-the-counter market with the requirement that such stocks have adequate market liquidity relative to the size of the investment.</w:t>
      </w:r>
    </w:p>
    <w:p w:rsidR="00D84A34" w:rsidRPr="00A6672A" w:rsidRDefault="00D84A34" w:rsidP="00D84A34">
      <w:pPr>
        <w:pStyle w:val="ListParagraph"/>
        <w:ind w:left="2160"/>
        <w:rPr>
          <w:sz w:val="22"/>
          <w:szCs w:val="22"/>
        </w:rPr>
      </w:pPr>
    </w:p>
    <w:p w:rsidR="00D84A34" w:rsidRPr="00A6672A" w:rsidRDefault="00D84A34" w:rsidP="00D84A34">
      <w:pPr>
        <w:pStyle w:val="ListParagraph"/>
        <w:numPr>
          <w:ilvl w:val="0"/>
          <w:numId w:val="12"/>
        </w:numPr>
        <w:rPr>
          <w:sz w:val="22"/>
          <w:szCs w:val="22"/>
        </w:rPr>
      </w:pPr>
      <w:r w:rsidRPr="00A6672A">
        <w:rPr>
          <w:sz w:val="22"/>
          <w:szCs w:val="22"/>
        </w:rPr>
        <w:t>Concentration by issuer: No more than 5% of total equity fund assets shall be invested in any one equity security.</w:t>
      </w:r>
    </w:p>
    <w:p w:rsidR="00D84A34" w:rsidRPr="00373F75" w:rsidRDefault="00D84A34" w:rsidP="00D84A34">
      <w:pPr>
        <w:ind w:left="720"/>
        <w:rPr>
          <w:sz w:val="22"/>
          <w:szCs w:val="22"/>
        </w:rPr>
      </w:pPr>
    </w:p>
    <w:p w:rsidR="00D84A34" w:rsidRPr="00D6745C" w:rsidRDefault="00D84A34" w:rsidP="00D84A34">
      <w:pPr>
        <w:pStyle w:val="ListParagraph"/>
        <w:numPr>
          <w:ilvl w:val="0"/>
          <w:numId w:val="11"/>
        </w:numPr>
        <w:rPr>
          <w:sz w:val="22"/>
          <w:szCs w:val="22"/>
        </w:rPr>
      </w:pPr>
      <w:r w:rsidRPr="00D6745C">
        <w:rPr>
          <w:sz w:val="22"/>
          <w:szCs w:val="22"/>
        </w:rPr>
        <w:t>Fixed Income Investments</w:t>
      </w:r>
    </w:p>
    <w:p w:rsidR="00D84A34" w:rsidRPr="00D6745C" w:rsidRDefault="00D84A34" w:rsidP="00D84A34">
      <w:pPr>
        <w:pStyle w:val="ListParagraph"/>
        <w:ind w:left="1440"/>
        <w:rPr>
          <w:sz w:val="22"/>
          <w:szCs w:val="22"/>
        </w:rPr>
      </w:pPr>
    </w:p>
    <w:p w:rsidR="00D84A34" w:rsidRDefault="00D84A34" w:rsidP="00D84A34">
      <w:pPr>
        <w:pStyle w:val="ListParagraph"/>
        <w:numPr>
          <w:ilvl w:val="0"/>
          <w:numId w:val="13"/>
        </w:numPr>
        <w:rPr>
          <w:sz w:val="22"/>
          <w:szCs w:val="22"/>
        </w:rPr>
      </w:pPr>
      <w:r w:rsidRPr="00A6672A">
        <w:rPr>
          <w:sz w:val="22"/>
          <w:szCs w:val="22"/>
        </w:rPr>
        <w:t>Quality:  Marketable bonds at the time of purchase must be rated “A” or better.  No fixed income security shall have, at any time, a credit rating lower than BBB – by S&amp;P or Baa3 by Moody’s</w:t>
      </w:r>
    </w:p>
    <w:p w:rsidR="00D84A34" w:rsidRPr="00A6672A" w:rsidRDefault="00D84A34" w:rsidP="00D84A34">
      <w:pPr>
        <w:pStyle w:val="ListParagraph"/>
        <w:ind w:left="2160"/>
        <w:rPr>
          <w:sz w:val="22"/>
          <w:szCs w:val="22"/>
        </w:rPr>
      </w:pPr>
    </w:p>
    <w:p w:rsidR="00D84A34" w:rsidRDefault="00D84A34" w:rsidP="00D84A34">
      <w:pPr>
        <w:pStyle w:val="ListParagraph"/>
        <w:numPr>
          <w:ilvl w:val="0"/>
          <w:numId w:val="13"/>
        </w:numPr>
        <w:rPr>
          <w:sz w:val="22"/>
          <w:szCs w:val="22"/>
        </w:rPr>
      </w:pPr>
      <w:r w:rsidRPr="00A6672A">
        <w:rPr>
          <w:sz w:val="22"/>
          <w:szCs w:val="22"/>
        </w:rPr>
        <w:t>Maturity:  No fixed income security should have duration of longer than 10 years at the time of purchase.</w:t>
      </w:r>
    </w:p>
    <w:p w:rsidR="00D84A34" w:rsidRPr="00A6672A" w:rsidRDefault="00D84A34" w:rsidP="00D84A34">
      <w:pPr>
        <w:pStyle w:val="ListParagraph"/>
        <w:ind w:left="2160"/>
        <w:rPr>
          <w:sz w:val="22"/>
          <w:szCs w:val="22"/>
        </w:rPr>
      </w:pPr>
    </w:p>
    <w:p w:rsidR="00D84A34" w:rsidRDefault="00D84A34" w:rsidP="00D84A34">
      <w:pPr>
        <w:pStyle w:val="ListParagraph"/>
        <w:numPr>
          <w:ilvl w:val="0"/>
          <w:numId w:val="13"/>
        </w:numPr>
        <w:rPr>
          <w:sz w:val="22"/>
          <w:szCs w:val="22"/>
        </w:rPr>
      </w:pPr>
      <w:r w:rsidRPr="00A6672A">
        <w:rPr>
          <w:sz w:val="22"/>
          <w:szCs w:val="22"/>
        </w:rPr>
        <w:t xml:space="preserve">Concentration by issuer:  The debt of any single issuer </w:t>
      </w:r>
      <w:r>
        <w:rPr>
          <w:sz w:val="22"/>
          <w:szCs w:val="22"/>
        </w:rPr>
        <w:t xml:space="preserve">(other than the U.S. Government) </w:t>
      </w:r>
      <w:r w:rsidRPr="00A6672A">
        <w:rPr>
          <w:sz w:val="22"/>
          <w:szCs w:val="22"/>
        </w:rPr>
        <w:t>shall not represent more than 5% of the total fixed income assets.</w:t>
      </w:r>
    </w:p>
    <w:p w:rsidR="00D84A34" w:rsidRDefault="00D84A34" w:rsidP="00D84A34">
      <w:pPr>
        <w:pStyle w:val="ListParagraph"/>
        <w:ind w:left="2160"/>
        <w:rPr>
          <w:sz w:val="22"/>
          <w:szCs w:val="22"/>
        </w:rPr>
      </w:pPr>
    </w:p>
    <w:p w:rsidR="00D84A34" w:rsidRPr="007D23C4" w:rsidRDefault="00D84A34" w:rsidP="007D23C4">
      <w:pPr>
        <w:pStyle w:val="ListParagraph"/>
        <w:numPr>
          <w:ilvl w:val="0"/>
          <w:numId w:val="13"/>
        </w:numPr>
        <w:rPr>
          <w:sz w:val="22"/>
          <w:szCs w:val="22"/>
        </w:rPr>
      </w:pPr>
      <w:r>
        <w:rPr>
          <w:sz w:val="22"/>
          <w:szCs w:val="22"/>
        </w:rPr>
        <w:t>Portfolio Mix:  Any Fixed Income investments constituting a greater than 40% concentration of the overall portfolio mix must be in U.S. Government Obligations.</w:t>
      </w:r>
    </w:p>
    <w:p w:rsidR="00D84A34" w:rsidRDefault="00D84A34" w:rsidP="00D84A34">
      <w:pPr>
        <w:pStyle w:val="ListParagraph"/>
        <w:ind w:left="1440"/>
        <w:rPr>
          <w:sz w:val="22"/>
          <w:szCs w:val="22"/>
        </w:rPr>
      </w:pPr>
    </w:p>
    <w:p w:rsidR="00D84A34" w:rsidRPr="00533C3D" w:rsidRDefault="00D84A34" w:rsidP="00D84A34">
      <w:pPr>
        <w:pStyle w:val="ListParagraph"/>
        <w:numPr>
          <w:ilvl w:val="0"/>
          <w:numId w:val="11"/>
        </w:numPr>
        <w:rPr>
          <w:sz w:val="22"/>
          <w:szCs w:val="22"/>
        </w:rPr>
      </w:pPr>
      <w:r w:rsidRPr="00533C3D">
        <w:rPr>
          <w:sz w:val="22"/>
          <w:szCs w:val="22"/>
        </w:rPr>
        <w:t>Short Term Investments</w:t>
      </w:r>
    </w:p>
    <w:p w:rsidR="00D84A34" w:rsidRPr="00533C3D" w:rsidRDefault="00D84A34" w:rsidP="00D84A34">
      <w:pPr>
        <w:pStyle w:val="ListParagraph"/>
        <w:ind w:left="1440"/>
        <w:rPr>
          <w:sz w:val="22"/>
          <w:szCs w:val="22"/>
        </w:rPr>
      </w:pPr>
    </w:p>
    <w:p w:rsidR="00D84A34" w:rsidRPr="00533C3D" w:rsidRDefault="00D84A34" w:rsidP="00D84A34">
      <w:pPr>
        <w:pStyle w:val="ListParagraph"/>
        <w:numPr>
          <w:ilvl w:val="0"/>
          <w:numId w:val="14"/>
        </w:numPr>
        <w:rPr>
          <w:sz w:val="22"/>
          <w:szCs w:val="22"/>
        </w:rPr>
      </w:pPr>
      <w:r w:rsidRPr="00533C3D">
        <w:rPr>
          <w:sz w:val="22"/>
          <w:szCs w:val="22"/>
        </w:rPr>
        <w:t>Definition:  Investments that will expire/mature within one year and are FDIC insured, SPIC insured and/or U.S. Government backed.</w:t>
      </w:r>
    </w:p>
    <w:p w:rsidR="00D84A34" w:rsidRPr="00533C3D" w:rsidRDefault="00D84A34" w:rsidP="00D84A34">
      <w:pPr>
        <w:pStyle w:val="ListParagraph"/>
        <w:ind w:left="2160"/>
        <w:rPr>
          <w:sz w:val="22"/>
          <w:szCs w:val="22"/>
        </w:rPr>
      </w:pPr>
    </w:p>
    <w:p w:rsidR="00D84A34" w:rsidRDefault="00D84A34" w:rsidP="00D84A34">
      <w:pPr>
        <w:pStyle w:val="ListParagraph"/>
        <w:numPr>
          <w:ilvl w:val="0"/>
          <w:numId w:val="14"/>
        </w:numPr>
        <w:rPr>
          <w:sz w:val="22"/>
          <w:szCs w:val="22"/>
        </w:rPr>
      </w:pPr>
      <w:r w:rsidRPr="00533C3D">
        <w:rPr>
          <w:sz w:val="22"/>
          <w:szCs w:val="22"/>
        </w:rPr>
        <w:t>Vehicles:  Checking Accounts, Savings Accounts, Money Market Accounts, Money Market Funds, Certificates of Deposit and Treasury Securities.</w:t>
      </w:r>
    </w:p>
    <w:p w:rsidR="00D84A34" w:rsidRDefault="00D84A34" w:rsidP="00D84A34">
      <w:pPr>
        <w:rPr>
          <w:sz w:val="22"/>
          <w:szCs w:val="22"/>
        </w:rPr>
      </w:pPr>
    </w:p>
    <w:p w:rsidR="00D84A34" w:rsidRDefault="00D84A34" w:rsidP="00D84A34">
      <w:pPr>
        <w:rPr>
          <w:sz w:val="22"/>
          <w:szCs w:val="22"/>
        </w:rPr>
      </w:pPr>
    </w:p>
    <w:p w:rsidR="00D84A34" w:rsidRDefault="00D84A34" w:rsidP="00D84A34">
      <w:pPr>
        <w:rPr>
          <w:sz w:val="22"/>
          <w:szCs w:val="22"/>
        </w:rPr>
      </w:pPr>
    </w:p>
    <w:p w:rsidR="00D84A34" w:rsidRDefault="00D84A34" w:rsidP="00D84A34">
      <w:pPr>
        <w:rPr>
          <w:sz w:val="22"/>
          <w:szCs w:val="22"/>
        </w:rPr>
      </w:pPr>
    </w:p>
    <w:p w:rsidR="00D84A34" w:rsidRDefault="00D84A34" w:rsidP="00D84A34">
      <w:pPr>
        <w:rPr>
          <w:sz w:val="22"/>
          <w:szCs w:val="22"/>
        </w:rPr>
      </w:pPr>
    </w:p>
    <w:p w:rsidR="00D84A34" w:rsidRDefault="00D84A34" w:rsidP="00D84A34">
      <w:pPr>
        <w:rPr>
          <w:sz w:val="22"/>
          <w:szCs w:val="22"/>
        </w:rPr>
      </w:pPr>
    </w:p>
    <w:p w:rsidR="00D84A34" w:rsidRPr="00E506A9" w:rsidRDefault="00D84A34" w:rsidP="00D84A34">
      <w:pPr>
        <w:rPr>
          <w:sz w:val="22"/>
          <w:szCs w:val="22"/>
        </w:rPr>
      </w:pPr>
    </w:p>
    <w:p w:rsidR="00C65F5A" w:rsidRDefault="00D84A34" w:rsidP="00D84A34">
      <w:r>
        <w:rPr>
          <w:sz w:val="22"/>
          <w:szCs w:val="22"/>
        </w:rPr>
        <w:t xml:space="preserve">Revised:  </w:t>
      </w:r>
      <w:r>
        <w:rPr>
          <w:sz w:val="22"/>
          <w:szCs w:val="22"/>
        </w:rPr>
        <w:tab/>
        <w:t>April 11, 2012</w:t>
      </w:r>
    </w:p>
    <w:sectPr w:rsidR="00C65F5A" w:rsidSect="00C65F5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E85" w:rsidRDefault="001E2E85" w:rsidP="00B31AEB">
      <w:r>
        <w:separator/>
      </w:r>
    </w:p>
  </w:endnote>
  <w:endnote w:type="continuationSeparator" w:id="0">
    <w:p w:rsidR="001E2E85" w:rsidRDefault="001E2E85" w:rsidP="00B31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902037"/>
      <w:docPartObj>
        <w:docPartGallery w:val="Page Numbers (Bottom of Page)"/>
        <w:docPartUnique/>
      </w:docPartObj>
    </w:sdtPr>
    <w:sdtEndPr/>
    <w:sdtContent>
      <w:p w:rsidR="001E2E85" w:rsidRDefault="001E2E85">
        <w:pPr>
          <w:pStyle w:val="Footer"/>
          <w:jc w:val="right"/>
        </w:pPr>
        <w:r>
          <w:t xml:space="preserve">Page | </w:t>
        </w:r>
        <w:r w:rsidR="00696BB7">
          <w:fldChar w:fldCharType="begin"/>
        </w:r>
        <w:r w:rsidR="00696BB7">
          <w:instrText xml:space="preserve"> PAGE   \* MERGEFORMAT </w:instrText>
        </w:r>
        <w:r w:rsidR="00696BB7">
          <w:fldChar w:fldCharType="separate"/>
        </w:r>
        <w:r w:rsidR="0094081B">
          <w:rPr>
            <w:noProof/>
          </w:rPr>
          <w:t>1</w:t>
        </w:r>
        <w:r w:rsidR="00696BB7">
          <w:rPr>
            <w:noProof/>
          </w:rPr>
          <w:fldChar w:fldCharType="end"/>
        </w:r>
        <w:r>
          <w:t xml:space="preserve"> </w:t>
        </w:r>
      </w:p>
    </w:sdtContent>
  </w:sdt>
  <w:p w:rsidR="001E2E85" w:rsidRDefault="001E2E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E85" w:rsidRDefault="001E2E85" w:rsidP="00B31AEB">
      <w:r>
        <w:separator/>
      </w:r>
    </w:p>
  </w:footnote>
  <w:footnote w:type="continuationSeparator" w:id="0">
    <w:p w:rsidR="001E2E85" w:rsidRDefault="001E2E85" w:rsidP="00B31A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C1CC1"/>
    <w:multiLevelType w:val="hybridMultilevel"/>
    <w:tmpl w:val="87B0159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40D6222"/>
    <w:multiLevelType w:val="hybridMultilevel"/>
    <w:tmpl w:val="116EF0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D820017"/>
    <w:multiLevelType w:val="hybridMultilevel"/>
    <w:tmpl w:val="38325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8874CC7"/>
    <w:multiLevelType w:val="hybridMultilevel"/>
    <w:tmpl w:val="3530D21A"/>
    <w:lvl w:ilvl="0" w:tplc="817ABB6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BBC6734"/>
    <w:multiLevelType w:val="hybridMultilevel"/>
    <w:tmpl w:val="7584AA34"/>
    <w:lvl w:ilvl="0" w:tplc="2C681A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4A7BBD"/>
    <w:multiLevelType w:val="hybridMultilevel"/>
    <w:tmpl w:val="924624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7C90CF6"/>
    <w:multiLevelType w:val="hybridMultilevel"/>
    <w:tmpl w:val="B5F636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AD6047C"/>
    <w:multiLevelType w:val="hybridMultilevel"/>
    <w:tmpl w:val="478E695A"/>
    <w:lvl w:ilvl="0" w:tplc="595A52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3B84A7E"/>
    <w:multiLevelType w:val="hybridMultilevel"/>
    <w:tmpl w:val="A2841BC2"/>
    <w:lvl w:ilvl="0" w:tplc="2C681A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E53EAB"/>
    <w:multiLevelType w:val="hybridMultilevel"/>
    <w:tmpl w:val="B502A4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C57264C"/>
    <w:multiLevelType w:val="hybridMultilevel"/>
    <w:tmpl w:val="8DE2C216"/>
    <w:lvl w:ilvl="0" w:tplc="2C681A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1C7FD8"/>
    <w:multiLevelType w:val="hybridMultilevel"/>
    <w:tmpl w:val="D48204C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5BD2644"/>
    <w:multiLevelType w:val="hybridMultilevel"/>
    <w:tmpl w:val="8F3A22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D8A6A46"/>
    <w:multiLevelType w:val="hybridMultilevel"/>
    <w:tmpl w:val="77C0609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2"/>
  </w:num>
  <w:num w:numId="2">
    <w:abstractNumId w:val="8"/>
  </w:num>
  <w:num w:numId="3">
    <w:abstractNumId w:val="9"/>
  </w:num>
  <w:num w:numId="4">
    <w:abstractNumId w:val="4"/>
  </w:num>
  <w:num w:numId="5">
    <w:abstractNumId w:val="5"/>
  </w:num>
  <w:num w:numId="6">
    <w:abstractNumId w:val="10"/>
  </w:num>
  <w:num w:numId="7">
    <w:abstractNumId w:val="6"/>
  </w:num>
  <w:num w:numId="8">
    <w:abstractNumId w:val="2"/>
  </w:num>
  <w:num w:numId="9">
    <w:abstractNumId w:val="1"/>
  </w:num>
  <w:num w:numId="10">
    <w:abstractNumId w:val="7"/>
  </w:num>
  <w:num w:numId="11">
    <w:abstractNumId w:val="3"/>
  </w:num>
  <w:num w:numId="12">
    <w:abstractNumId w:val="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E80"/>
    <w:rsid w:val="00003415"/>
    <w:rsid w:val="00017F81"/>
    <w:rsid w:val="000222C9"/>
    <w:rsid w:val="00030B6C"/>
    <w:rsid w:val="000714CC"/>
    <w:rsid w:val="000A45D2"/>
    <w:rsid w:val="000B71EA"/>
    <w:rsid w:val="00130C64"/>
    <w:rsid w:val="001A5F1F"/>
    <w:rsid w:val="001D6DE6"/>
    <w:rsid w:val="001E2E85"/>
    <w:rsid w:val="002062E3"/>
    <w:rsid w:val="0030419F"/>
    <w:rsid w:val="0036402D"/>
    <w:rsid w:val="00373F75"/>
    <w:rsid w:val="003B45BA"/>
    <w:rsid w:val="003C123C"/>
    <w:rsid w:val="003C7E80"/>
    <w:rsid w:val="004712DF"/>
    <w:rsid w:val="00474CD7"/>
    <w:rsid w:val="00494857"/>
    <w:rsid w:val="0049656E"/>
    <w:rsid w:val="004B1763"/>
    <w:rsid w:val="004D41A0"/>
    <w:rsid w:val="00587290"/>
    <w:rsid w:val="0063777E"/>
    <w:rsid w:val="006511B0"/>
    <w:rsid w:val="00683BB1"/>
    <w:rsid w:val="006872EB"/>
    <w:rsid w:val="00696BB7"/>
    <w:rsid w:val="006C4456"/>
    <w:rsid w:val="006E4ACF"/>
    <w:rsid w:val="0071773F"/>
    <w:rsid w:val="00722596"/>
    <w:rsid w:val="00761C8E"/>
    <w:rsid w:val="007D23C4"/>
    <w:rsid w:val="00817AA6"/>
    <w:rsid w:val="00871889"/>
    <w:rsid w:val="008910F4"/>
    <w:rsid w:val="008B67F8"/>
    <w:rsid w:val="0094081B"/>
    <w:rsid w:val="00962444"/>
    <w:rsid w:val="009E20B6"/>
    <w:rsid w:val="00A00D27"/>
    <w:rsid w:val="00A54FB7"/>
    <w:rsid w:val="00AD4B81"/>
    <w:rsid w:val="00B269AF"/>
    <w:rsid w:val="00B31AEB"/>
    <w:rsid w:val="00B324F2"/>
    <w:rsid w:val="00B36841"/>
    <w:rsid w:val="00B472A8"/>
    <w:rsid w:val="00B62ABC"/>
    <w:rsid w:val="00B90BF6"/>
    <w:rsid w:val="00BB5E00"/>
    <w:rsid w:val="00C05E6C"/>
    <w:rsid w:val="00C34061"/>
    <w:rsid w:val="00C65F5A"/>
    <w:rsid w:val="00CC7576"/>
    <w:rsid w:val="00D216D7"/>
    <w:rsid w:val="00D502C1"/>
    <w:rsid w:val="00D62257"/>
    <w:rsid w:val="00D6745C"/>
    <w:rsid w:val="00D82F9B"/>
    <w:rsid w:val="00D84A34"/>
    <w:rsid w:val="00DB10C5"/>
    <w:rsid w:val="00DE3C12"/>
    <w:rsid w:val="00E649DD"/>
    <w:rsid w:val="00EB6352"/>
    <w:rsid w:val="00EF2235"/>
    <w:rsid w:val="00EF6036"/>
    <w:rsid w:val="00F240C0"/>
    <w:rsid w:val="00FA2407"/>
    <w:rsid w:val="00FB5A8C"/>
    <w:rsid w:val="00FE2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263964-04D3-4832-BE7C-05FE7BD70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7E8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31AEB"/>
    <w:pPr>
      <w:tabs>
        <w:tab w:val="center" w:pos="4680"/>
        <w:tab w:val="right" w:pos="9360"/>
      </w:tabs>
    </w:pPr>
  </w:style>
  <w:style w:type="character" w:customStyle="1" w:styleId="HeaderChar">
    <w:name w:val="Header Char"/>
    <w:basedOn w:val="DefaultParagraphFont"/>
    <w:link w:val="Header"/>
    <w:uiPriority w:val="99"/>
    <w:semiHidden/>
    <w:rsid w:val="00B31AEB"/>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B31AEB"/>
    <w:pPr>
      <w:tabs>
        <w:tab w:val="center" w:pos="4680"/>
        <w:tab w:val="right" w:pos="9360"/>
      </w:tabs>
    </w:pPr>
  </w:style>
  <w:style w:type="character" w:customStyle="1" w:styleId="FooterChar">
    <w:name w:val="Footer Char"/>
    <w:basedOn w:val="DefaultParagraphFont"/>
    <w:link w:val="Footer"/>
    <w:uiPriority w:val="99"/>
    <w:rsid w:val="00B31AEB"/>
    <w:rPr>
      <w:rFonts w:ascii="Times New Roman" w:eastAsia="Times New Roman" w:hAnsi="Times New Roman" w:cs="Times New Roman"/>
      <w:color w:val="000000"/>
      <w:kern w:val="28"/>
      <w:sz w:val="20"/>
      <w:szCs w:val="20"/>
    </w:rPr>
  </w:style>
  <w:style w:type="paragraph" w:styleId="ListParagraph">
    <w:name w:val="List Paragraph"/>
    <w:basedOn w:val="Normal"/>
    <w:uiPriority w:val="34"/>
    <w:qFormat/>
    <w:rsid w:val="000A45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811841">
      <w:bodyDiv w:val="1"/>
      <w:marLeft w:val="0"/>
      <w:marRight w:val="0"/>
      <w:marTop w:val="0"/>
      <w:marBottom w:val="0"/>
      <w:divBdr>
        <w:top w:val="none" w:sz="0" w:space="0" w:color="auto"/>
        <w:left w:val="none" w:sz="0" w:space="0" w:color="auto"/>
        <w:bottom w:val="none" w:sz="0" w:space="0" w:color="auto"/>
        <w:right w:val="none" w:sz="0" w:space="0" w:color="auto"/>
      </w:divBdr>
    </w:div>
    <w:div w:id="174105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C209E-2B68-49AD-8A18-649F77731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880</Words>
  <Characters>5022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curriet</dc:creator>
  <cp:lastModifiedBy>Natasha Thompson</cp:lastModifiedBy>
  <cp:revision>2</cp:revision>
  <cp:lastPrinted>2014-01-30T13:47:00Z</cp:lastPrinted>
  <dcterms:created xsi:type="dcterms:W3CDTF">2017-11-06T14:53:00Z</dcterms:created>
  <dcterms:modified xsi:type="dcterms:W3CDTF">2017-11-06T14:53:00Z</dcterms:modified>
</cp:coreProperties>
</file>